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A6C" w:rsidRPr="00FA7A6C" w:rsidRDefault="00FA7A6C" w:rsidP="00FA7A6C">
      <w:pPr>
        <w:rPr>
          <w:rFonts w:cstheme="minorHAnsi"/>
          <w:b/>
          <w:bCs/>
        </w:rPr>
      </w:pPr>
      <w:r w:rsidRPr="00FA7A6C">
        <w:rPr>
          <w:rFonts w:cstheme="minorHAnsi"/>
          <w:b/>
          <w:bCs/>
        </w:rPr>
        <w:t>Введение</w:t>
      </w:r>
    </w:p>
    <w:p w:rsidR="00FA7A6C" w:rsidRPr="00FA7A6C" w:rsidRDefault="00FA7A6C" w:rsidP="00FA7A6C">
      <w:pPr>
        <w:rPr>
          <w:rFonts w:cstheme="minorHAnsi"/>
          <w:sz w:val="20"/>
          <w:szCs w:val="20"/>
        </w:rPr>
      </w:pPr>
      <w:r w:rsidRPr="00FA7A6C">
        <w:rPr>
          <w:rFonts w:cstheme="minorHAnsi"/>
          <w:sz w:val="20"/>
          <w:szCs w:val="20"/>
        </w:rPr>
        <w:t>Правильное ведение пациентов с фибрилляцией предсердий (ФП) и острым коронарным синдромом (ОКС) является весьма трудоемким. Последние рекомендации Европейского общества кардиологов (ЕОК) (2014) подразумевают «тройную» терапию, которая включает в себя оральные антикоагулянты (ОАК), аспирин и клопидогрел в течение 1 или 6 месяцев, которая впоследствии титруется до двойной терапии в течение 6 или 11 месяцев. Эффективность и безопасность двойной терапии ривароксабаном и клопидогрелом в течении 12 месяцев в этом контексте является недостаточно изученной.</w:t>
      </w:r>
    </w:p>
    <w:p w:rsidR="00FA7A6C" w:rsidRPr="00FA7A6C" w:rsidRDefault="00FA7A6C" w:rsidP="00FA7A6C">
      <w:pPr>
        <w:rPr>
          <w:rFonts w:cstheme="minorHAnsi"/>
          <w:b/>
          <w:bCs/>
        </w:rPr>
      </w:pPr>
      <w:r w:rsidRPr="00FA7A6C">
        <w:rPr>
          <w:rFonts w:cstheme="minorHAnsi"/>
          <w:b/>
          <w:bCs/>
        </w:rPr>
        <w:t>Материалы и методы</w:t>
      </w:r>
    </w:p>
    <w:p w:rsidR="00FA7A6C" w:rsidRPr="00FA7A6C" w:rsidRDefault="00FA7A6C" w:rsidP="00FA7A6C">
      <w:pPr>
        <w:rPr>
          <w:rFonts w:cstheme="minorHAnsi"/>
          <w:sz w:val="20"/>
          <w:szCs w:val="20"/>
        </w:rPr>
      </w:pPr>
      <w:r w:rsidRPr="00FA7A6C">
        <w:rPr>
          <w:rFonts w:cstheme="minorHAnsi"/>
          <w:sz w:val="20"/>
          <w:szCs w:val="20"/>
        </w:rPr>
        <w:t>Одноцентровое нерандомизированное проспективное исследование включило 100 пациентов с ФП и нестабильной стенокардией (НС)/ инфарктом миокарда без подъема сегмента ST (ИМ без подъема ST), получавших медикаментозное лечение либо подвергшихся чрескожному коронарному вмешательству (ЧКВ). 50 пациентов получали ривароксабан в (20 мг) плюс клопидогрел (75 мг) один раз в день в течение 12 месяцев (Группа 1). Остальные 50 пациентов получали тройную, а впоследствии двойную терапию антагонистом витамина К (после подбора дозировки) в комбинации с клопидогрелом и аспирином, в соответствии с рекомендациями ЕОК в течение не более чем 12 месяцев (Группа 2). Первичным исходом считалось сочетание малых и больших кровотечений, не связанных с АКШ (шкалаTIMI) в период до 12 месяцев с момента начала исследования. Вторичным исходом считались значимые нежелательные сердечно-сосудистые события (сердечно-сосудистая смерть, нефатальный инфаркт миокарда, тромбоз стента или инсульт).</w:t>
      </w:r>
    </w:p>
    <w:p w:rsidR="00FA7A6C" w:rsidRPr="00FA7A6C" w:rsidRDefault="00FA7A6C" w:rsidP="00FA7A6C">
      <w:pPr>
        <w:rPr>
          <w:rFonts w:cstheme="minorHAnsi"/>
          <w:b/>
          <w:bCs/>
        </w:rPr>
      </w:pPr>
      <w:r w:rsidRPr="00FA7A6C">
        <w:rPr>
          <w:rFonts w:cstheme="minorHAnsi"/>
          <w:b/>
          <w:bCs/>
        </w:rPr>
        <w:t>Результаты</w:t>
      </w:r>
    </w:p>
    <w:p w:rsidR="00FA7A6C" w:rsidRPr="00FA7A6C" w:rsidRDefault="00FA7A6C" w:rsidP="00FA7A6C">
      <w:pPr>
        <w:rPr>
          <w:rFonts w:cstheme="minorHAnsi"/>
          <w:sz w:val="20"/>
          <w:szCs w:val="20"/>
        </w:rPr>
      </w:pPr>
      <w:r w:rsidRPr="00FA7A6C">
        <w:rPr>
          <w:rFonts w:cstheme="minorHAnsi"/>
          <w:sz w:val="20"/>
          <w:szCs w:val="20"/>
        </w:rPr>
        <w:t>Частота больших и малых кровотечений была ниже в Группе 1 (ривароксабан плюс клопидогрел), но статистически значимых отличий обнаружено не было (ОШ=0,73 [95 % ДИ 0,73–1,4]; ЧБНЛ=12,5, p=0,58). СОР частоты кровотечений в группе ривароксабана составила 25–27 %. Составные частоты серьезных нежелательных явлений со стороны сердца и сосудов не имели значимых различий в обеих группах (36 % vs 30 %, ОШ=1,14 [95 % ДИ=0,6–2,0]; p=0,652). Анализ подгрупп показал, что пациенты из Группы 1, перенесшие ЧКВ, имели сравнительно более низкую частоту нефатального ИМ и тромбоза стента по сравнению с Группой 2 (СОР=16 %, p=0,63).</w:t>
      </w:r>
    </w:p>
    <w:p w:rsidR="00FA7A6C" w:rsidRPr="00FA7A6C" w:rsidRDefault="00FA7A6C" w:rsidP="00FA7A6C">
      <w:pPr>
        <w:rPr>
          <w:rFonts w:cstheme="minorHAnsi"/>
          <w:b/>
          <w:bCs/>
        </w:rPr>
      </w:pPr>
      <w:r w:rsidRPr="00FA7A6C">
        <w:rPr>
          <w:rFonts w:cstheme="minorHAnsi"/>
          <w:b/>
          <w:bCs/>
        </w:rPr>
        <w:t>Выводы</w:t>
      </w:r>
    </w:p>
    <w:p w:rsidR="00FA7A6C" w:rsidRPr="00FA7A6C" w:rsidRDefault="00FA7A6C" w:rsidP="00FA7A6C">
      <w:pPr>
        <w:rPr>
          <w:rFonts w:cstheme="minorHAnsi"/>
          <w:sz w:val="20"/>
          <w:szCs w:val="20"/>
        </w:rPr>
      </w:pPr>
      <w:r w:rsidRPr="00FA7A6C">
        <w:rPr>
          <w:rFonts w:cstheme="minorHAnsi"/>
          <w:sz w:val="20"/>
          <w:szCs w:val="20"/>
        </w:rPr>
        <w:t>Использование комбинации ривароксабана (20 мг перорально 1 раз в день) и клопидогрела (75 мг) в течение 12 месяцев у пациентов с ФП и НС, получавших медикаментозную терапию или перенесших ЧКВ, было безопасным и эффективным. Данный режим терапии обеспечивает лучшую комплаентность и дает преимущества пациентам, для которых переход с тройной терапии на двойную нежелателен.</w:t>
      </w:r>
    </w:p>
    <w:p w:rsidR="00FA7A6C" w:rsidRPr="00FA7A6C" w:rsidRDefault="00FA7A6C" w:rsidP="00FA7A6C">
      <w:pPr>
        <w:rPr>
          <w:rFonts w:cstheme="minorHAnsi"/>
          <w:b/>
          <w:bCs/>
        </w:rPr>
      </w:pPr>
      <w:bookmarkStart w:id="0" w:name="_GoBack"/>
      <w:r w:rsidRPr="00FA7A6C">
        <w:rPr>
          <w:rFonts w:cstheme="minorHAnsi"/>
          <w:b/>
          <w:bCs/>
        </w:rPr>
        <w:t>Ключевые слова</w:t>
      </w:r>
    </w:p>
    <w:bookmarkEnd w:id="0"/>
    <w:p w:rsidR="00FA7A6C" w:rsidRPr="00FA7A6C" w:rsidRDefault="00FA7A6C" w:rsidP="00FA7A6C">
      <w:pPr>
        <w:rPr>
          <w:rFonts w:cstheme="minorHAnsi"/>
          <w:sz w:val="20"/>
          <w:szCs w:val="20"/>
        </w:rPr>
      </w:pPr>
      <w:r w:rsidRPr="00FA7A6C">
        <w:rPr>
          <w:rFonts w:cstheme="minorHAnsi"/>
          <w:sz w:val="20"/>
          <w:szCs w:val="20"/>
        </w:rPr>
        <w:t>Фибрилляция предсердий, нестабильная стенокардия, ривароксабан.</w:t>
      </w:r>
    </w:p>
    <w:p w:rsidR="007A5293" w:rsidRPr="00FA7A6C" w:rsidRDefault="007A5293" w:rsidP="00FA7A6C">
      <w:pPr>
        <w:rPr>
          <w:rFonts w:cstheme="minorHAnsi"/>
        </w:rPr>
      </w:pPr>
    </w:p>
    <w:sectPr w:rsidR="007A5293" w:rsidRPr="00FA7A6C" w:rsidSect="008268C6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-Black">
    <w:panose1 w:val="020B0A04020101010102"/>
    <w:charset w:val="00"/>
    <w:family w:val="swiss"/>
    <w:notTrueType/>
    <w:pitch w:val="variable"/>
    <w:sig w:usb0="A00002BF" w:usb1="4000207B" w:usb2="00000000" w:usb3="00000000" w:csb0="0000009F" w:csb1="00000000"/>
  </w:font>
  <w:font w:name="DINPro-MediumItalic">
    <w:panose1 w:val="020B0604020101020102"/>
    <w:charset w:val="00"/>
    <w:family w:val="swiss"/>
    <w:notTrueType/>
    <w:pitch w:val="variable"/>
    <w:sig w:usb0="A00002BF" w:usb1="4000207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3F"/>
    <w:rsid w:val="0041446D"/>
    <w:rsid w:val="007A5293"/>
    <w:rsid w:val="0088453F"/>
    <w:rsid w:val="00FA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31BAE4-6C65-41E3-91DA-456F3515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Head">
    <w:name w:val="Lead Head (СТАРТ)"/>
    <w:basedOn w:val="a"/>
    <w:next w:val="LeadText"/>
    <w:uiPriority w:val="99"/>
    <w:rsid w:val="0088453F"/>
    <w:pPr>
      <w:keepNext/>
      <w:shd w:val="clear" w:color="auto" w:fill="000000"/>
      <w:suppressAutoHyphens/>
      <w:autoSpaceDE w:val="0"/>
      <w:autoSpaceDN w:val="0"/>
      <w:adjustRightInd w:val="0"/>
      <w:spacing w:before="113" w:after="0" w:line="280" w:lineRule="atLeast"/>
      <w:ind w:left="113" w:right="113"/>
      <w:textAlignment w:val="center"/>
    </w:pPr>
    <w:rPr>
      <w:rFonts w:ascii="DINPro-Black" w:hAnsi="DINPro-Black" w:cs="DINPro-Black"/>
      <w:b/>
      <w:bCs/>
      <w:color w:val="000000"/>
      <w:spacing w:val="2"/>
      <w:sz w:val="24"/>
      <w:szCs w:val="24"/>
    </w:rPr>
  </w:style>
  <w:style w:type="paragraph" w:customStyle="1" w:styleId="LeadText">
    <w:name w:val="LeadText (СТАРТ)"/>
    <w:basedOn w:val="a"/>
    <w:next w:val="LeadHead"/>
    <w:uiPriority w:val="99"/>
    <w:rsid w:val="0088453F"/>
    <w:pPr>
      <w:shd w:val="clear" w:color="auto" w:fill="000000"/>
      <w:autoSpaceDE w:val="0"/>
      <w:autoSpaceDN w:val="0"/>
      <w:adjustRightInd w:val="0"/>
      <w:spacing w:after="0" w:line="280" w:lineRule="atLeast"/>
      <w:ind w:left="113" w:right="113"/>
      <w:jc w:val="both"/>
      <w:textAlignment w:val="center"/>
    </w:pPr>
    <w:rPr>
      <w:rFonts w:ascii="DINPro-MediumItalic" w:hAnsi="DINPro-MediumItalic" w:cs="DINPro-MediumItalic"/>
      <w:i/>
      <w:iCs/>
      <w:color w:val="000000"/>
      <w:sz w:val="20"/>
      <w:szCs w:val="20"/>
    </w:rPr>
  </w:style>
  <w:style w:type="character" w:customStyle="1" w:styleId="Bold">
    <w:name w:val="Bold"/>
    <w:uiPriority w:val="99"/>
    <w:rsid w:val="0088453F"/>
    <w:rPr>
      <w:b/>
      <w:bCs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2020-02-21T07:12:00Z</dcterms:created>
  <dcterms:modified xsi:type="dcterms:W3CDTF">2020-02-21T07:12:00Z</dcterms:modified>
</cp:coreProperties>
</file>